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F7" w:rsidRPr="00FE2762" w:rsidRDefault="007872F7" w:rsidP="007872F7">
      <w:pPr>
        <w:jc w:val="center"/>
        <w:rPr>
          <w:rFonts w:eastAsia="Calibri" w:cs="Times New Roman"/>
          <w:b/>
          <w:szCs w:val="24"/>
        </w:rPr>
      </w:pPr>
      <w:r w:rsidRPr="00FE2762">
        <w:rPr>
          <w:rFonts w:eastAsia="Calibri" w:cs="Times New Roman"/>
          <w:b/>
          <w:szCs w:val="24"/>
        </w:rPr>
        <w:t>GR 22</w:t>
      </w:r>
    </w:p>
    <w:p w:rsidR="007872F7" w:rsidRPr="00FE2762" w:rsidRDefault="007872F7" w:rsidP="007872F7">
      <w:pPr>
        <w:jc w:val="center"/>
        <w:rPr>
          <w:rFonts w:eastAsia="Calibri" w:cs="Times New Roman"/>
          <w:szCs w:val="24"/>
        </w:rPr>
      </w:pPr>
      <w:r w:rsidRPr="00FE2762">
        <w:rPr>
          <w:rFonts w:eastAsia="Calibri" w:cs="Times New Roman"/>
          <w:b/>
          <w:szCs w:val="24"/>
        </w:rPr>
        <w:t>ACCESS TO FAMILY LAW</w:t>
      </w:r>
      <w:r w:rsidRPr="00FE2762">
        <w:rPr>
          <w:rFonts w:eastAsia="Calibri" w:cs="Times New Roman"/>
          <w:b/>
          <w:szCs w:val="24"/>
          <w:u w:val="single"/>
        </w:rPr>
        <w:t>,</w:t>
      </w:r>
      <w:r w:rsidRPr="00FE2762">
        <w:rPr>
          <w:rFonts w:eastAsia="Calibri" w:cs="Times New Roman"/>
          <w:b/>
          <w:szCs w:val="24"/>
        </w:rPr>
        <w:t xml:space="preserve"> </w:t>
      </w:r>
      <w:r w:rsidRPr="00FE2762">
        <w:rPr>
          <w:rFonts w:eastAsia="Calibri" w:cs="Times New Roman"/>
          <w:b/>
          <w:strike/>
          <w:szCs w:val="24"/>
        </w:rPr>
        <w:t>AND</w:t>
      </w:r>
      <w:r w:rsidRPr="00FE2762">
        <w:rPr>
          <w:rFonts w:eastAsia="Calibri" w:cs="Times New Roman"/>
          <w:b/>
          <w:szCs w:val="24"/>
        </w:rPr>
        <w:t xml:space="preserve"> GUARDIANSHIP</w:t>
      </w:r>
      <w:r w:rsidRPr="00FE2762">
        <w:rPr>
          <w:rFonts w:eastAsia="Calibri" w:cs="Times New Roman"/>
          <w:b/>
          <w:szCs w:val="24"/>
          <w:u w:val="single"/>
        </w:rPr>
        <w:t>, AND THERAPEUTIC</w:t>
      </w:r>
      <w:r w:rsidRPr="00FE2762">
        <w:rPr>
          <w:rFonts w:eastAsia="Calibri" w:cs="Times New Roman"/>
          <w:b/>
          <w:szCs w:val="24"/>
        </w:rPr>
        <w:t xml:space="preserve"> COURT RECORDS</w:t>
      </w:r>
    </w:p>
    <w:p w:rsidR="007872F7" w:rsidRPr="00FE2762" w:rsidRDefault="007872F7" w:rsidP="007872F7">
      <w:pPr>
        <w:jc w:val="center"/>
        <w:rPr>
          <w:rFonts w:eastAsia="Calibri" w:cs="Times New Roman"/>
          <w:szCs w:val="24"/>
        </w:rPr>
      </w:pP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b/>
          <w:szCs w:val="24"/>
        </w:rPr>
        <w:t>(a) Purpose and Scope of this Rule.</w:t>
      </w:r>
      <w:r w:rsidRPr="00FE2762">
        <w:rPr>
          <w:rFonts w:eastAsia="Calibri" w:cs="Times New Roman"/>
          <w:szCs w:val="24"/>
        </w:rPr>
        <w:t xml:space="preserve"> This rule governs access to family law, </w:t>
      </w:r>
      <w:r w:rsidRPr="00FE2762">
        <w:rPr>
          <w:rFonts w:eastAsia="Calibri" w:cs="Times New Roman"/>
          <w:strike/>
          <w:szCs w:val="24"/>
        </w:rPr>
        <w:t>and</w:t>
      </w:r>
      <w:r w:rsidRPr="00FE2762">
        <w:rPr>
          <w:rFonts w:eastAsia="Calibri" w:cs="Times New Roman"/>
          <w:szCs w:val="24"/>
        </w:rPr>
        <w:t xml:space="preserve"> guardianship</w:t>
      </w:r>
      <w:r w:rsidRPr="00FE2762">
        <w:rPr>
          <w:rFonts w:eastAsia="Calibri" w:cs="Times New Roman"/>
          <w:szCs w:val="24"/>
          <w:u w:val="single"/>
        </w:rPr>
        <w:t>, and therapeutic</w:t>
      </w:r>
      <w:r w:rsidRPr="00FE2762">
        <w:rPr>
          <w:rFonts w:eastAsia="Calibri" w:cs="Times New Roman"/>
          <w:szCs w:val="24"/>
        </w:rPr>
        <w:t xml:space="preserve"> court records, whether the records are maintained in paper or electronic form. The policy of the courts is to facilitate public access to court records, provided that such access will not present an unreasonable invasion of personal privacy, will not permit access to records or information defined by law or court rule as confidential, sealed, exempted from disclosure, or otherwise restricted from public access, and will not be unduly burdensome to the ongoing business of the courts. </w:t>
      </w:r>
    </w:p>
    <w:p w:rsidR="007872F7" w:rsidRPr="00FE2762" w:rsidRDefault="007872F7" w:rsidP="007872F7">
      <w:pPr>
        <w:spacing w:after="160" w:line="259" w:lineRule="auto"/>
        <w:ind w:firstLine="720"/>
        <w:rPr>
          <w:rFonts w:eastAsia="Calibri" w:cs="Times New Roman"/>
          <w:b/>
          <w:szCs w:val="24"/>
        </w:rPr>
      </w:pPr>
      <w:r w:rsidRPr="00FE2762">
        <w:rPr>
          <w:rFonts w:eastAsia="Calibri" w:cs="Times New Roman"/>
          <w:b/>
          <w:szCs w:val="24"/>
        </w:rPr>
        <w:t xml:space="preserve">(b) Definition and Construction of Terms.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 xml:space="preserve">(1) – (8) [Unchanged.] </w:t>
      </w:r>
    </w:p>
    <w:p w:rsidR="007872F7" w:rsidRPr="00FE2762" w:rsidRDefault="007872F7" w:rsidP="007872F7">
      <w:pPr>
        <w:spacing w:after="160" w:line="259" w:lineRule="auto"/>
        <w:ind w:firstLine="720"/>
        <w:rPr>
          <w:rFonts w:eastAsia="Calibri" w:cs="Times New Roman"/>
          <w:szCs w:val="24"/>
          <w:u w:val="single"/>
        </w:rPr>
      </w:pPr>
      <w:r w:rsidRPr="00FE2762">
        <w:rPr>
          <w:rFonts w:eastAsia="Calibri" w:cs="Times New Roman"/>
          <w:szCs w:val="24"/>
          <w:u w:val="single"/>
        </w:rPr>
        <w:t>(9) “Therapeutic court cases” means any case in which a party is receiving treatment pursuant to a t</w:t>
      </w:r>
      <w:r w:rsidR="00C766A7">
        <w:rPr>
          <w:rFonts w:eastAsia="Calibri" w:cs="Times New Roman"/>
          <w:szCs w:val="24"/>
          <w:u w:val="single"/>
        </w:rPr>
        <w:t>herapeutic court program under c</w:t>
      </w:r>
      <w:r w:rsidRPr="00FE2762">
        <w:rPr>
          <w:rFonts w:eastAsia="Calibri" w:cs="Times New Roman"/>
          <w:szCs w:val="24"/>
          <w:u w:val="single"/>
        </w:rPr>
        <w:t>hapter 2.30 RCW.</w:t>
      </w:r>
    </w:p>
    <w:p w:rsidR="007872F7" w:rsidRPr="00FE2762" w:rsidRDefault="007872F7" w:rsidP="007872F7">
      <w:pPr>
        <w:spacing w:after="160" w:line="259" w:lineRule="auto"/>
        <w:ind w:firstLine="720"/>
        <w:rPr>
          <w:rFonts w:eastAsia="Calibri" w:cs="Times New Roman"/>
          <w:b/>
          <w:szCs w:val="24"/>
        </w:rPr>
      </w:pPr>
      <w:r w:rsidRPr="00FE2762">
        <w:rPr>
          <w:rFonts w:eastAsia="Calibri" w:cs="Times New Roman"/>
          <w:b/>
          <w:szCs w:val="24"/>
        </w:rPr>
        <w:t>(c) Access to Family Law</w:t>
      </w:r>
      <w:r w:rsidRPr="00FE2762">
        <w:rPr>
          <w:rFonts w:eastAsia="Calibri" w:cs="Times New Roman"/>
          <w:b/>
          <w:szCs w:val="24"/>
          <w:u w:val="single"/>
        </w:rPr>
        <w:t>,</w:t>
      </w:r>
      <w:r w:rsidRPr="00FE2762">
        <w:rPr>
          <w:rFonts w:eastAsia="Calibri" w:cs="Times New Roman"/>
          <w:b/>
          <w:szCs w:val="24"/>
        </w:rPr>
        <w:t xml:space="preserve"> </w:t>
      </w:r>
      <w:r w:rsidRPr="00FE2762">
        <w:rPr>
          <w:rFonts w:eastAsia="Calibri" w:cs="Times New Roman"/>
          <w:b/>
          <w:strike/>
          <w:szCs w:val="24"/>
        </w:rPr>
        <w:t>or</w:t>
      </w:r>
      <w:r w:rsidRPr="00FE2762">
        <w:rPr>
          <w:rFonts w:eastAsia="Calibri" w:cs="Times New Roman"/>
          <w:b/>
          <w:szCs w:val="24"/>
        </w:rPr>
        <w:t xml:space="preserve"> Guardianship</w:t>
      </w:r>
      <w:r w:rsidRPr="00FE2762">
        <w:rPr>
          <w:rFonts w:eastAsia="Calibri" w:cs="Times New Roman"/>
          <w:b/>
          <w:szCs w:val="24"/>
          <w:u w:val="single"/>
        </w:rPr>
        <w:t>, and Therapeutic</w:t>
      </w:r>
      <w:r w:rsidRPr="00FE2762">
        <w:rPr>
          <w:rFonts w:eastAsia="Calibri" w:cs="Times New Roman"/>
          <w:b/>
          <w:szCs w:val="24"/>
        </w:rPr>
        <w:t xml:space="preserve"> Court Records.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 xml:space="preserve">(1) </w:t>
      </w:r>
      <w:r w:rsidR="00C766A7">
        <w:rPr>
          <w:rFonts w:eastAsia="Calibri" w:cs="Times New Roman"/>
          <w:szCs w:val="24"/>
        </w:rPr>
        <w:t>[Unchanged.]</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 xml:space="preserve">(2) </w:t>
      </w:r>
      <w:r w:rsidRPr="00FE2762">
        <w:rPr>
          <w:rFonts w:eastAsia="Calibri" w:cs="Times New Roman"/>
          <w:i/>
          <w:szCs w:val="24"/>
        </w:rPr>
        <w:t>Restricted Access</w:t>
      </w:r>
      <w:r w:rsidRPr="00FE2762">
        <w:rPr>
          <w:rFonts w:eastAsia="Calibri" w:cs="Times New Roman"/>
          <w:szCs w:val="24"/>
        </w:rPr>
        <w:t xml:space="preserve">. The Confidential Information Form, Sealed Financial Source Documents, Domestic Violence Information Form, Notice of Intent to Relocate required by RCW 26.09.440, Sealed Personal Health Care Record, Retirement Plan Order, Confidential Reports as defined in (e)(2)(B), copies of any </w:t>
      </w:r>
      <w:proofErr w:type="spellStart"/>
      <w:r w:rsidRPr="00FE2762">
        <w:rPr>
          <w:rFonts w:eastAsia="Calibri" w:cs="Times New Roman"/>
          <w:szCs w:val="24"/>
        </w:rPr>
        <w:t>unredacted</w:t>
      </w:r>
      <w:proofErr w:type="spellEnd"/>
      <w:r w:rsidRPr="00FE2762">
        <w:rPr>
          <w:rFonts w:eastAsia="Calibri" w:cs="Times New Roman"/>
          <w:szCs w:val="24"/>
        </w:rPr>
        <w:t xml:space="preserve"> Judicial Information System (JIS) database information considered by the court for parenting plan approval as set forth in (f) of this rule, </w:t>
      </w:r>
      <w:r w:rsidRPr="00FE2762">
        <w:rPr>
          <w:rFonts w:eastAsia="Calibri" w:cs="Times New Roman"/>
          <w:strike/>
          <w:szCs w:val="24"/>
        </w:rPr>
        <w:t>and</w:t>
      </w:r>
      <w:r w:rsidRPr="00FE2762">
        <w:rPr>
          <w:rFonts w:eastAsia="Calibri" w:cs="Times New Roman"/>
          <w:szCs w:val="24"/>
        </w:rPr>
        <w:t xml:space="preserve"> any Personal Information Sheet necessary for JIS purposes</w:t>
      </w:r>
      <w:r w:rsidRPr="00FE2762">
        <w:rPr>
          <w:rFonts w:eastAsia="Calibri" w:cs="Times New Roman"/>
          <w:szCs w:val="24"/>
          <w:u w:val="single"/>
        </w:rPr>
        <w:t xml:space="preserve">, and evaluations and reports pursuant to chapter 10.77 RCW, therapeutic court risk/needs assessments, treatment evaluation and treatment compliance forms used in therapeutic court cases or otherwise ordered by a court, </w:t>
      </w:r>
      <w:r w:rsidRPr="00FE2762">
        <w:rPr>
          <w:rFonts w:eastAsia="Calibri" w:cs="Times New Roman"/>
          <w:szCs w:val="24"/>
        </w:rPr>
        <w:t>shall only be accessible as provided in sections (h) and (</w:t>
      </w:r>
      <w:proofErr w:type="spellStart"/>
      <w:r w:rsidRPr="00FE2762">
        <w:rPr>
          <w:rFonts w:eastAsia="Calibri" w:cs="Times New Roman"/>
          <w:szCs w:val="24"/>
        </w:rPr>
        <w:t>i</w:t>
      </w:r>
      <w:proofErr w:type="spellEnd"/>
      <w:r w:rsidRPr="00FE2762">
        <w:rPr>
          <w:rFonts w:eastAsia="Calibri" w:cs="Times New Roman"/>
          <w:szCs w:val="24"/>
        </w:rPr>
        <w:t xml:space="preserve">) herein.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 xml:space="preserve">(3) </w:t>
      </w:r>
      <w:r w:rsidR="00C766A7" w:rsidRPr="00C766A7">
        <w:rPr>
          <w:rFonts w:eastAsia="Calibri" w:cs="Times New Roman"/>
          <w:szCs w:val="24"/>
        </w:rPr>
        <w:t>[Unchanged.]</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 xml:space="preserve">(d) </w:t>
      </w:r>
      <w:r w:rsidRPr="00FE2762">
        <w:rPr>
          <w:rFonts w:eastAsia="Calibri" w:cs="Times New Roman"/>
          <w:b/>
          <w:szCs w:val="24"/>
        </w:rPr>
        <w:t>Restricted Personal Identifiers Not Required—Except.</w:t>
      </w:r>
      <w:r w:rsidRPr="00FE2762">
        <w:rPr>
          <w:rFonts w:eastAsia="Calibri" w:cs="Times New Roman"/>
          <w:szCs w:val="24"/>
        </w:rPr>
        <w:t xml:space="preserve"> Parties to a family law case or the </w:t>
      </w:r>
      <w:r w:rsidR="00047833">
        <w:rPr>
          <w:rFonts w:eastAsia="Calibri" w:cs="Times New Roman"/>
          <w:szCs w:val="24"/>
        </w:rPr>
        <w:t xml:space="preserve">respondent, </w:t>
      </w:r>
      <w:r w:rsidRPr="00FE2762">
        <w:rPr>
          <w:rFonts w:eastAsia="Calibri" w:cs="Times New Roman"/>
          <w:szCs w:val="24"/>
        </w:rPr>
        <w:t>in</w:t>
      </w:r>
      <w:r w:rsidR="00047833">
        <w:rPr>
          <w:rFonts w:eastAsia="Calibri" w:cs="Times New Roman"/>
          <w:szCs w:val="24"/>
        </w:rPr>
        <w:t xml:space="preserve">dividual subject to </w:t>
      </w:r>
      <w:r w:rsidRPr="00FE2762">
        <w:rPr>
          <w:rFonts w:eastAsia="Calibri" w:cs="Times New Roman"/>
          <w:szCs w:val="24"/>
        </w:rPr>
        <w:t>guardianship</w:t>
      </w:r>
      <w:r w:rsidR="00047833">
        <w:rPr>
          <w:rFonts w:eastAsia="Calibri" w:cs="Times New Roman"/>
          <w:szCs w:val="24"/>
        </w:rPr>
        <w:t>, conservatorship or other protective arrangement, or other party in a guardianship</w:t>
      </w:r>
      <w:r w:rsidRPr="00FE2762">
        <w:rPr>
          <w:rFonts w:eastAsia="Calibri" w:cs="Times New Roman"/>
          <w:szCs w:val="24"/>
        </w:rPr>
        <w:t xml:space="preserve"> case </w:t>
      </w:r>
      <w:r w:rsidRPr="00FE2762">
        <w:rPr>
          <w:rFonts w:eastAsia="Calibri" w:cs="Times New Roman"/>
          <w:szCs w:val="24"/>
          <w:u w:val="single"/>
        </w:rPr>
        <w:t xml:space="preserve">or defendants in a therapeutic court or those ordered to do treatment by a therapeutic court </w:t>
      </w:r>
      <w:r w:rsidRPr="00FE2762">
        <w:rPr>
          <w:rFonts w:eastAsia="Calibri" w:cs="Times New Roman"/>
          <w:szCs w:val="24"/>
        </w:rPr>
        <w:t xml:space="preserve">shall not be required to provide restricted personal identifiers in any document filed with the court or required to be provided upon filing a family law or guardianship case, except: </w:t>
      </w:r>
    </w:p>
    <w:p w:rsidR="007872F7" w:rsidRPr="00FE2762" w:rsidRDefault="00C766A7" w:rsidP="00C766A7">
      <w:pPr>
        <w:spacing w:after="160" w:line="259" w:lineRule="auto"/>
        <w:ind w:firstLine="720"/>
        <w:rPr>
          <w:rFonts w:eastAsia="Calibri" w:cs="Times New Roman"/>
          <w:szCs w:val="24"/>
        </w:rPr>
      </w:pPr>
      <w:r>
        <w:rPr>
          <w:rFonts w:eastAsia="Calibri" w:cs="Times New Roman"/>
          <w:szCs w:val="24"/>
        </w:rPr>
        <w:t>(1)</w:t>
      </w:r>
      <w:proofErr w:type="gramStart"/>
      <w:r>
        <w:rPr>
          <w:rFonts w:eastAsia="Calibri" w:cs="Times New Roman"/>
          <w:szCs w:val="24"/>
        </w:rPr>
        <w:t>-(</w:t>
      </w:r>
      <w:proofErr w:type="gramEnd"/>
      <w:r>
        <w:rPr>
          <w:rFonts w:eastAsia="Calibri" w:cs="Times New Roman"/>
          <w:szCs w:val="24"/>
        </w:rPr>
        <w:t>3) [Unchanged.]</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b/>
          <w:szCs w:val="24"/>
        </w:rPr>
        <w:t>(e) Filing of Reports in Family Law</w:t>
      </w:r>
      <w:r w:rsidRPr="00FE2762">
        <w:rPr>
          <w:rFonts w:eastAsia="Calibri" w:cs="Times New Roman"/>
          <w:b/>
          <w:szCs w:val="24"/>
          <w:u w:val="single"/>
        </w:rPr>
        <w:t>,</w:t>
      </w:r>
      <w:r w:rsidRPr="00FE2762">
        <w:rPr>
          <w:rFonts w:eastAsia="Calibri" w:cs="Times New Roman"/>
          <w:b/>
          <w:szCs w:val="24"/>
        </w:rPr>
        <w:t xml:space="preserve"> </w:t>
      </w:r>
      <w:r w:rsidRPr="00FE2762">
        <w:rPr>
          <w:rFonts w:eastAsia="Calibri" w:cs="Times New Roman"/>
          <w:b/>
          <w:strike/>
          <w:szCs w:val="24"/>
        </w:rPr>
        <w:t>and</w:t>
      </w:r>
      <w:r w:rsidRPr="00FE2762">
        <w:rPr>
          <w:rFonts w:eastAsia="Calibri" w:cs="Times New Roman"/>
          <w:b/>
          <w:szCs w:val="24"/>
        </w:rPr>
        <w:t xml:space="preserve"> Guardianship</w:t>
      </w:r>
      <w:r w:rsidRPr="00FE2762">
        <w:rPr>
          <w:rFonts w:eastAsia="Calibri" w:cs="Times New Roman"/>
          <w:b/>
          <w:szCs w:val="24"/>
          <w:u w:val="single"/>
        </w:rPr>
        <w:t>, and Therapeutic Court</w:t>
      </w:r>
      <w:r w:rsidR="0093680B">
        <w:rPr>
          <w:rFonts w:eastAsia="Calibri" w:cs="Times New Roman"/>
          <w:b/>
          <w:szCs w:val="24"/>
        </w:rPr>
        <w:t xml:space="preserve"> cases</w:t>
      </w:r>
      <w:r w:rsidR="005504CA">
        <w:rPr>
          <w:rFonts w:eastAsia="Calibri" w:cs="Times New Roman"/>
          <w:b/>
          <w:szCs w:val="24"/>
        </w:rPr>
        <w:t xml:space="preserve"> </w:t>
      </w:r>
      <w:r w:rsidRPr="00FE2762">
        <w:rPr>
          <w:rFonts w:eastAsia="Calibri" w:cs="Times New Roman"/>
          <w:b/>
          <w:szCs w:val="24"/>
        </w:rPr>
        <w:t>C</w:t>
      </w:r>
      <w:bookmarkStart w:id="0" w:name="_GoBack"/>
      <w:bookmarkEnd w:id="0"/>
      <w:r w:rsidRPr="00FE2762">
        <w:rPr>
          <w:rFonts w:eastAsia="Calibri" w:cs="Times New Roman"/>
          <w:b/>
          <w:szCs w:val="24"/>
        </w:rPr>
        <w:t>over Sheet.</w:t>
      </w:r>
      <w:r w:rsidRPr="00FE2762">
        <w:rPr>
          <w:rFonts w:eastAsia="Calibri" w:cs="Times New Roman"/>
          <w:szCs w:val="24"/>
        </w:rPr>
        <w:t xml:space="preserve">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lastRenderedPageBreak/>
        <w:t>(1) This section applies to documents that are intended as reports to the court in Family law</w:t>
      </w:r>
      <w:r w:rsidRPr="00FE2762">
        <w:rPr>
          <w:rFonts w:eastAsia="Calibri" w:cs="Times New Roman"/>
          <w:szCs w:val="24"/>
          <w:u w:val="single"/>
        </w:rPr>
        <w:t>,</w:t>
      </w:r>
      <w:r w:rsidRPr="00FE2762">
        <w:rPr>
          <w:rFonts w:eastAsia="Calibri" w:cs="Times New Roman"/>
          <w:szCs w:val="24"/>
        </w:rPr>
        <w:t xml:space="preserve"> </w:t>
      </w:r>
      <w:r w:rsidRPr="00FE2762">
        <w:rPr>
          <w:rFonts w:eastAsia="Calibri" w:cs="Times New Roman"/>
          <w:strike/>
          <w:szCs w:val="24"/>
        </w:rPr>
        <w:t>and</w:t>
      </w:r>
      <w:r w:rsidRPr="00FE2762">
        <w:rPr>
          <w:rFonts w:eastAsia="Calibri" w:cs="Times New Roman"/>
          <w:szCs w:val="24"/>
        </w:rPr>
        <w:t xml:space="preserve"> Guardianship</w:t>
      </w:r>
      <w:r w:rsidRPr="00FE2762">
        <w:rPr>
          <w:rFonts w:eastAsia="Calibri" w:cs="Times New Roman"/>
          <w:szCs w:val="24"/>
          <w:u w:val="single"/>
        </w:rPr>
        <w:t>, and therapeutic court</w:t>
      </w:r>
      <w:r w:rsidRPr="00FE2762">
        <w:rPr>
          <w:rFonts w:eastAsia="Calibri" w:cs="Times New Roman"/>
          <w:szCs w:val="24"/>
        </w:rPr>
        <w:t xml:space="preserve"> cases including, but not limited to, the following: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 xml:space="preserve">(A) </w:t>
      </w:r>
      <w:r w:rsidR="0093680B">
        <w:rPr>
          <w:rFonts w:eastAsia="Calibri" w:cs="Times New Roman"/>
          <w:szCs w:val="24"/>
        </w:rPr>
        <w:t>[Unchanged.]</w:t>
      </w:r>
      <w:r w:rsidRPr="00FE2762">
        <w:rPr>
          <w:rFonts w:eastAsia="Calibri" w:cs="Times New Roman"/>
          <w:szCs w:val="24"/>
        </w:rPr>
        <w:t xml:space="preserve">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(B) Domestic Violence Assessment Reports created by Family Court Services or a qualified expert appointed by the court</w:t>
      </w:r>
      <w:r w:rsidRPr="00FE2762">
        <w:rPr>
          <w:rFonts w:eastAsia="Calibri" w:cs="Times New Roman"/>
          <w:szCs w:val="24"/>
          <w:u w:val="single"/>
        </w:rPr>
        <w:t>, or created for a therapeutic court purpose or otherwise ordered by a court</w:t>
      </w:r>
      <w:r w:rsidRPr="00FE2762">
        <w:rPr>
          <w:rFonts w:eastAsia="Calibri" w:cs="Times New Roman"/>
          <w:szCs w:val="24"/>
        </w:rPr>
        <w:t xml:space="preserve">;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(C) Risk Assessment Reports created by Family Court Services or a qualified expert</w:t>
      </w:r>
      <w:r w:rsidRPr="00FE2762">
        <w:rPr>
          <w:rFonts w:eastAsia="Calibri" w:cs="Times New Roman"/>
          <w:szCs w:val="24"/>
          <w:u w:val="single"/>
        </w:rPr>
        <w:t>, or created for a therapeutic court purpose or otherwise ordered by a court</w:t>
      </w:r>
      <w:r w:rsidRPr="00FE2762">
        <w:rPr>
          <w:rFonts w:eastAsia="Calibri" w:cs="Times New Roman"/>
          <w:szCs w:val="24"/>
        </w:rPr>
        <w:t xml:space="preserve">;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 xml:space="preserve">(D) </w:t>
      </w:r>
      <w:r w:rsidRPr="00FE2762">
        <w:rPr>
          <w:rFonts w:eastAsia="Calibri" w:cs="Times New Roman"/>
          <w:szCs w:val="24"/>
          <w:u w:val="single"/>
        </w:rPr>
        <w:t>Treatment evaluation and compliance reports required by a therapeutic court or otherwise ordered by a court;</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 xml:space="preserve">(E) </w:t>
      </w:r>
      <w:r w:rsidRPr="00FE2762">
        <w:rPr>
          <w:rFonts w:eastAsia="Calibri" w:cs="Times New Roman"/>
          <w:szCs w:val="24"/>
          <w:u w:val="single"/>
        </w:rPr>
        <w:t>Mental health competency evaluations;</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w:t>
      </w:r>
      <w:r w:rsidRPr="00FE2762">
        <w:rPr>
          <w:rFonts w:eastAsia="Calibri" w:cs="Times New Roman"/>
          <w:strike/>
          <w:szCs w:val="24"/>
        </w:rPr>
        <w:t>D</w:t>
      </w:r>
      <w:r w:rsidRPr="00FE2762">
        <w:rPr>
          <w:rFonts w:eastAsia="Calibri" w:cs="Times New Roman"/>
          <w:szCs w:val="24"/>
          <w:u w:val="single"/>
        </w:rPr>
        <w:t>F</w:t>
      </w:r>
      <w:r w:rsidRPr="00FE2762">
        <w:rPr>
          <w:rFonts w:eastAsia="Calibri" w:cs="Times New Roman"/>
          <w:szCs w:val="24"/>
        </w:rPr>
        <w:t xml:space="preserve">) CPS Summary Reports created by Family Court Services or supplied directly by Children’s Protective Services;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w:t>
      </w:r>
      <w:r w:rsidRPr="00FE2762">
        <w:rPr>
          <w:rFonts w:eastAsia="Calibri" w:cs="Times New Roman"/>
          <w:strike/>
          <w:szCs w:val="24"/>
        </w:rPr>
        <w:t>E</w:t>
      </w:r>
      <w:r w:rsidRPr="00FE2762">
        <w:rPr>
          <w:rFonts w:eastAsia="Calibri" w:cs="Times New Roman"/>
          <w:szCs w:val="24"/>
          <w:u w:val="single"/>
        </w:rPr>
        <w:t>G</w:t>
      </w:r>
      <w:r w:rsidRPr="00FE2762">
        <w:rPr>
          <w:rFonts w:eastAsia="Calibri" w:cs="Times New Roman"/>
          <w:szCs w:val="24"/>
        </w:rPr>
        <w:t xml:space="preserve">) Sexual abuse evaluations; and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w:t>
      </w:r>
      <w:r w:rsidRPr="00FE2762">
        <w:rPr>
          <w:rFonts w:eastAsia="Calibri" w:cs="Times New Roman"/>
          <w:strike/>
          <w:szCs w:val="24"/>
        </w:rPr>
        <w:t>F</w:t>
      </w:r>
      <w:r w:rsidRPr="00FE2762">
        <w:rPr>
          <w:rFonts w:eastAsia="Calibri" w:cs="Times New Roman"/>
          <w:szCs w:val="24"/>
          <w:u w:val="single"/>
        </w:rPr>
        <w:t>H</w:t>
      </w:r>
      <w:r w:rsidRPr="00FE2762">
        <w:rPr>
          <w:rFonts w:eastAsia="Calibri" w:cs="Times New Roman"/>
          <w:szCs w:val="24"/>
        </w:rPr>
        <w:t>) Reports of a guardian ad litem or Court Appointed Special Advocate</w:t>
      </w:r>
      <w:r w:rsidR="0093680B">
        <w:rPr>
          <w:rFonts w:eastAsia="Calibri" w:cs="Times New Roman"/>
          <w:szCs w:val="24"/>
        </w:rPr>
        <w:t xml:space="preserve"> or visitor or court visitor</w:t>
      </w:r>
      <w:r w:rsidRPr="00FE2762">
        <w:rPr>
          <w:rFonts w:eastAsia="Calibri" w:cs="Times New Roman"/>
          <w:szCs w:val="24"/>
        </w:rPr>
        <w:t xml:space="preserve">. </w:t>
      </w:r>
    </w:p>
    <w:p w:rsidR="007872F7" w:rsidRPr="00FE2762" w:rsidRDefault="0093680B" w:rsidP="007872F7">
      <w:pPr>
        <w:spacing w:after="160" w:line="259" w:lineRule="auto"/>
        <w:ind w:firstLine="720"/>
        <w:rPr>
          <w:rFonts w:eastAsia="Calibri" w:cs="Times New Roman"/>
          <w:szCs w:val="24"/>
        </w:rPr>
      </w:pPr>
      <w:r>
        <w:rPr>
          <w:rFonts w:eastAsia="Calibri" w:cs="Times New Roman"/>
          <w:szCs w:val="24"/>
        </w:rPr>
        <w:t>(2)</w:t>
      </w:r>
      <w:proofErr w:type="gramStart"/>
      <w:r>
        <w:rPr>
          <w:rFonts w:eastAsia="Calibri" w:cs="Times New Roman"/>
          <w:szCs w:val="24"/>
        </w:rPr>
        <w:t>–</w:t>
      </w:r>
      <w:r w:rsidR="007872F7" w:rsidRPr="00FE2762">
        <w:rPr>
          <w:rFonts w:eastAsia="Calibri" w:cs="Times New Roman"/>
          <w:szCs w:val="24"/>
        </w:rPr>
        <w:t>(</w:t>
      </w:r>
      <w:proofErr w:type="gramEnd"/>
      <w:r w:rsidR="007872F7" w:rsidRPr="00FE2762">
        <w:rPr>
          <w:rFonts w:eastAsia="Calibri" w:cs="Times New Roman"/>
          <w:szCs w:val="24"/>
        </w:rPr>
        <w:t>3) [Unchanged.]</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b/>
          <w:szCs w:val="24"/>
        </w:rPr>
        <w:t>(f)</w:t>
      </w:r>
      <w:proofErr w:type="gramStart"/>
      <w:r w:rsidR="0093680B">
        <w:rPr>
          <w:rFonts w:eastAsia="Calibri" w:cs="Times New Roman"/>
          <w:szCs w:val="24"/>
        </w:rPr>
        <w:t>–</w:t>
      </w:r>
      <w:r w:rsidRPr="00FE2762">
        <w:rPr>
          <w:rFonts w:eastAsia="Calibri" w:cs="Times New Roman"/>
          <w:b/>
          <w:szCs w:val="24"/>
        </w:rPr>
        <w:t>(</w:t>
      </w:r>
      <w:proofErr w:type="gramEnd"/>
      <w:r w:rsidRPr="00FE2762">
        <w:rPr>
          <w:rFonts w:eastAsia="Calibri" w:cs="Times New Roman"/>
          <w:b/>
          <w:szCs w:val="24"/>
        </w:rPr>
        <w:t>g)</w:t>
      </w:r>
      <w:r w:rsidRPr="00FE2762">
        <w:rPr>
          <w:rFonts w:eastAsia="Calibri" w:cs="Times New Roman"/>
          <w:szCs w:val="24"/>
        </w:rPr>
        <w:t xml:space="preserve"> [Unchanged.]</w:t>
      </w:r>
    </w:p>
    <w:p w:rsidR="007872F7" w:rsidRPr="00FE2762" w:rsidRDefault="007872F7" w:rsidP="007872F7">
      <w:pPr>
        <w:spacing w:after="160" w:line="259" w:lineRule="auto"/>
        <w:ind w:firstLine="720"/>
        <w:rPr>
          <w:rFonts w:eastAsia="Calibri" w:cs="Times New Roman"/>
          <w:b/>
          <w:szCs w:val="24"/>
        </w:rPr>
      </w:pPr>
      <w:r w:rsidRPr="00FE2762">
        <w:rPr>
          <w:rFonts w:eastAsia="Calibri" w:cs="Times New Roman"/>
          <w:b/>
          <w:szCs w:val="24"/>
        </w:rPr>
        <w:t xml:space="preserve">(h) Access by Courts, Agencies, and Parties to Restricted Documents.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(1) Unless otherwise provided by statute or court order, the following persons shall have access to all records in family law</w:t>
      </w:r>
      <w:r w:rsidRPr="00FE2762">
        <w:rPr>
          <w:rFonts w:eastAsia="Calibri" w:cs="Times New Roman"/>
          <w:szCs w:val="24"/>
          <w:u w:val="single"/>
        </w:rPr>
        <w:t>,</w:t>
      </w:r>
      <w:r w:rsidRPr="00FE2762">
        <w:rPr>
          <w:rFonts w:eastAsia="Calibri" w:cs="Times New Roman"/>
          <w:szCs w:val="24"/>
        </w:rPr>
        <w:t xml:space="preserve"> </w:t>
      </w:r>
      <w:r w:rsidRPr="00FE2762">
        <w:rPr>
          <w:rFonts w:eastAsia="Calibri" w:cs="Times New Roman"/>
          <w:strike/>
          <w:szCs w:val="24"/>
        </w:rPr>
        <w:t>or</w:t>
      </w:r>
      <w:r w:rsidRPr="00FE2762">
        <w:rPr>
          <w:rFonts w:eastAsia="Calibri" w:cs="Times New Roman"/>
          <w:szCs w:val="24"/>
        </w:rPr>
        <w:t xml:space="preserve"> guardianship</w:t>
      </w:r>
      <w:r w:rsidRPr="00FE2762">
        <w:rPr>
          <w:rFonts w:eastAsia="Calibri" w:cs="Times New Roman"/>
          <w:szCs w:val="24"/>
          <w:u w:val="single"/>
        </w:rPr>
        <w:t>, or therapeutic court</w:t>
      </w:r>
      <w:r w:rsidRPr="00FE2762">
        <w:rPr>
          <w:rFonts w:eastAsia="Calibri" w:cs="Times New Roman"/>
          <w:szCs w:val="24"/>
        </w:rPr>
        <w:t xml:space="preserve"> cases: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w:t>
      </w:r>
      <w:r w:rsidR="0093680B">
        <w:rPr>
          <w:rFonts w:eastAsia="Calibri" w:cs="Times New Roman"/>
          <w:szCs w:val="24"/>
        </w:rPr>
        <w:t>A)</w:t>
      </w:r>
      <w:proofErr w:type="gramStart"/>
      <w:r w:rsidR="0093680B">
        <w:rPr>
          <w:rFonts w:eastAsia="Calibri" w:cs="Times New Roman"/>
          <w:szCs w:val="24"/>
        </w:rPr>
        <w:t>–</w:t>
      </w:r>
      <w:r w:rsidRPr="00FE2762">
        <w:rPr>
          <w:rFonts w:eastAsia="Calibri" w:cs="Times New Roman"/>
          <w:szCs w:val="24"/>
        </w:rPr>
        <w:t>(</w:t>
      </w:r>
      <w:proofErr w:type="gramEnd"/>
      <w:r w:rsidRPr="00FE2762">
        <w:rPr>
          <w:rFonts w:eastAsia="Calibri" w:cs="Times New Roman"/>
          <w:szCs w:val="24"/>
        </w:rPr>
        <w:t xml:space="preserve">B) [Unchanged.] </w:t>
      </w:r>
    </w:p>
    <w:p w:rsidR="007872F7" w:rsidRPr="00FE2762" w:rsidRDefault="007872F7" w:rsidP="007872F7">
      <w:pPr>
        <w:spacing w:after="160" w:line="259" w:lineRule="auto"/>
        <w:ind w:firstLine="720"/>
        <w:rPr>
          <w:rFonts w:eastAsia="Calibri" w:cs="Times New Roman"/>
          <w:szCs w:val="24"/>
        </w:rPr>
      </w:pPr>
      <w:r w:rsidRPr="00FE2762">
        <w:rPr>
          <w:rFonts w:eastAsia="Calibri" w:cs="Times New Roman"/>
          <w:szCs w:val="24"/>
        </w:rPr>
        <w:t>(2) Except as otherwise provided by statute or court order, the following persons shall have access to all documents filed in a family law</w:t>
      </w:r>
      <w:r w:rsidRPr="00FE2762">
        <w:rPr>
          <w:rFonts w:eastAsia="Calibri" w:cs="Times New Roman"/>
          <w:szCs w:val="24"/>
          <w:u w:val="single"/>
        </w:rPr>
        <w:t>,</w:t>
      </w:r>
      <w:r w:rsidRPr="00FE2762">
        <w:rPr>
          <w:rFonts w:eastAsia="Calibri" w:cs="Times New Roman"/>
          <w:szCs w:val="24"/>
        </w:rPr>
        <w:t xml:space="preserve"> </w:t>
      </w:r>
      <w:r w:rsidRPr="00FE2762">
        <w:rPr>
          <w:rFonts w:eastAsia="Calibri" w:cs="Times New Roman"/>
          <w:strike/>
          <w:szCs w:val="24"/>
        </w:rPr>
        <w:t>or</w:t>
      </w:r>
      <w:r w:rsidRPr="00FE2762">
        <w:rPr>
          <w:rFonts w:eastAsia="Calibri" w:cs="Times New Roman"/>
          <w:szCs w:val="24"/>
        </w:rPr>
        <w:t xml:space="preserve"> guardianship</w:t>
      </w:r>
      <w:r w:rsidRPr="00FE2762">
        <w:rPr>
          <w:rFonts w:eastAsia="Calibri" w:cs="Times New Roman"/>
          <w:szCs w:val="24"/>
          <w:u w:val="single"/>
        </w:rPr>
        <w:t>, or therapeutic court</w:t>
      </w:r>
      <w:r w:rsidRPr="00FE2762">
        <w:rPr>
          <w:rFonts w:eastAsia="Calibri" w:cs="Times New Roman"/>
          <w:szCs w:val="24"/>
        </w:rPr>
        <w:t xml:space="preserve"> case, except the Personal Information Sheet, Vital Statistics Form, Confidential Information Form, Domestic Violence Information Form, Law Enforcement Information Form, and Foreign Protection Order Form. </w:t>
      </w:r>
    </w:p>
    <w:p w:rsidR="007872F7" w:rsidRPr="00FE2762" w:rsidRDefault="0093680B" w:rsidP="007872F7">
      <w:pPr>
        <w:spacing w:after="160" w:line="259" w:lineRule="auto"/>
        <w:ind w:firstLine="720"/>
        <w:rPr>
          <w:rFonts w:eastAsia="Calibri" w:cs="Times New Roman"/>
          <w:szCs w:val="24"/>
        </w:rPr>
      </w:pPr>
      <w:r>
        <w:rPr>
          <w:rFonts w:eastAsia="Calibri" w:cs="Times New Roman"/>
          <w:szCs w:val="24"/>
        </w:rPr>
        <w:t>(A)</w:t>
      </w:r>
      <w:r w:rsidR="007872F7" w:rsidRPr="00FE2762">
        <w:rPr>
          <w:rFonts w:eastAsia="Calibri" w:cs="Times New Roman"/>
          <w:szCs w:val="24"/>
        </w:rPr>
        <w:t>–</w:t>
      </w:r>
      <w:r>
        <w:rPr>
          <w:rFonts w:eastAsia="Calibri" w:cs="Times New Roman"/>
          <w:szCs w:val="24"/>
        </w:rPr>
        <w:t xml:space="preserve">(C) </w:t>
      </w:r>
      <w:r w:rsidR="007872F7" w:rsidRPr="00FE2762">
        <w:rPr>
          <w:rFonts w:eastAsia="Calibri" w:cs="Times New Roman"/>
          <w:szCs w:val="24"/>
        </w:rPr>
        <w:t xml:space="preserve">[Unchanged.] </w:t>
      </w:r>
    </w:p>
    <w:p w:rsidR="006E2BF6" w:rsidRDefault="007872F7" w:rsidP="007872F7">
      <w:r w:rsidRPr="00FE2762">
        <w:rPr>
          <w:rFonts w:eastAsia="Calibri" w:cs="Times New Roman"/>
          <w:b/>
          <w:szCs w:val="24"/>
        </w:rPr>
        <w:t>(</w:t>
      </w:r>
      <w:proofErr w:type="spellStart"/>
      <w:r w:rsidRPr="00FE2762">
        <w:rPr>
          <w:rFonts w:eastAsia="Calibri" w:cs="Times New Roman"/>
          <w:b/>
          <w:szCs w:val="24"/>
        </w:rPr>
        <w:t>i</w:t>
      </w:r>
      <w:proofErr w:type="spellEnd"/>
      <w:r w:rsidRPr="00FE2762">
        <w:rPr>
          <w:rFonts w:eastAsia="Calibri" w:cs="Times New Roman"/>
          <w:b/>
          <w:szCs w:val="24"/>
        </w:rPr>
        <w:t>)</w:t>
      </w:r>
      <w:r w:rsidRPr="00FE2762">
        <w:rPr>
          <w:rFonts w:eastAsia="Calibri" w:cs="Times New Roman"/>
          <w:szCs w:val="24"/>
        </w:rPr>
        <w:t xml:space="preserve"> [Unchanged.]</w:t>
      </w:r>
    </w:p>
    <w:sectPr w:rsidR="006E2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F7"/>
    <w:rsid w:val="00047833"/>
    <w:rsid w:val="005504CA"/>
    <w:rsid w:val="006E2BF6"/>
    <w:rsid w:val="007872F7"/>
    <w:rsid w:val="0093680B"/>
    <w:rsid w:val="00C7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D5B4D-53A2-4157-8B6A-5625D9BC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2F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4</cp:revision>
  <dcterms:created xsi:type="dcterms:W3CDTF">2022-01-24T19:49:00Z</dcterms:created>
  <dcterms:modified xsi:type="dcterms:W3CDTF">2022-01-24T21:14:00Z</dcterms:modified>
</cp:coreProperties>
</file>